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Default="00691350">
      <w:pPr>
        <w:jc w:val="center"/>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center"/>
        <w:rPr>
          <w:b/>
          <w:sz w:val="40"/>
          <w:szCs w:val="40"/>
        </w:rPr>
      </w:pPr>
      <w:r>
        <w:rPr>
          <w:b/>
          <w:sz w:val="40"/>
          <w:szCs w:val="40"/>
        </w:rPr>
        <w:t>CONCURSO DE PRECIOS</w:t>
      </w:r>
    </w:p>
    <w:p w:rsidR="00B73D40" w:rsidRPr="00CB5776" w:rsidRDefault="00B73D40" w:rsidP="00B73D40">
      <w:pPr>
        <w:pStyle w:val="Sangradetextonormal"/>
        <w:ind w:right="-1"/>
        <w:jc w:val="center"/>
        <w:rPr>
          <w:b/>
          <w:sz w:val="40"/>
          <w:szCs w:val="40"/>
        </w:rPr>
      </w:pPr>
    </w:p>
    <w:p w:rsidR="00B73D40" w:rsidRPr="00CB5776" w:rsidRDefault="00B73D40" w:rsidP="00B73D40">
      <w:pPr>
        <w:pStyle w:val="Sangradetextonormal"/>
        <w:ind w:right="-1"/>
        <w:jc w:val="center"/>
        <w:rPr>
          <w:b/>
          <w:sz w:val="40"/>
          <w:szCs w:val="40"/>
        </w:rPr>
      </w:pPr>
      <w:r w:rsidRPr="00CB5776">
        <w:rPr>
          <w:b/>
          <w:sz w:val="40"/>
          <w:szCs w:val="40"/>
        </w:rPr>
        <w:t xml:space="preserve"> CMC Nº 0</w:t>
      </w:r>
      <w:r w:rsidR="000A3B5C">
        <w:rPr>
          <w:b/>
          <w:sz w:val="40"/>
          <w:szCs w:val="40"/>
        </w:rPr>
        <w:t>3</w:t>
      </w:r>
      <w:r w:rsidR="00ED5B98">
        <w:rPr>
          <w:b/>
          <w:sz w:val="40"/>
          <w:szCs w:val="40"/>
        </w:rPr>
        <w:t xml:space="preserve"> </w:t>
      </w:r>
      <w:r w:rsidRPr="00CB5776">
        <w:rPr>
          <w:b/>
          <w:sz w:val="40"/>
          <w:szCs w:val="40"/>
        </w:rPr>
        <w:t>/20</w:t>
      </w:r>
      <w:r>
        <w:rPr>
          <w:b/>
          <w:sz w:val="40"/>
          <w:szCs w:val="40"/>
        </w:rPr>
        <w:t>19</w:t>
      </w:r>
    </w:p>
    <w:p w:rsidR="00B73D40" w:rsidRDefault="00B73D40" w:rsidP="00B73D40">
      <w:pPr>
        <w:pStyle w:val="Sangradetextonormal"/>
        <w:ind w:right="-1"/>
        <w:jc w:val="center"/>
      </w:pPr>
    </w:p>
    <w:p w:rsidR="00B73D40" w:rsidRDefault="00B73D40" w:rsidP="00B73D40">
      <w:pPr>
        <w:pStyle w:val="Sangradetextonormal"/>
        <w:ind w:right="-1"/>
        <w:jc w:val="center"/>
      </w:pPr>
    </w:p>
    <w:p w:rsidR="00B73D40" w:rsidRPr="00AC20AC" w:rsidRDefault="00B73D40" w:rsidP="00B73D40">
      <w:pPr>
        <w:pStyle w:val="Sangradetextonormal"/>
        <w:ind w:right="-1"/>
        <w:jc w:val="center"/>
        <w:rPr>
          <w:b/>
          <w:sz w:val="32"/>
          <w:szCs w:val="32"/>
        </w:rPr>
      </w:pPr>
      <w:r w:rsidRPr="00AC20AC">
        <w:rPr>
          <w:b/>
          <w:sz w:val="32"/>
          <w:szCs w:val="32"/>
        </w:rPr>
        <w:t>OBJETO</w:t>
      </w:r>
    </w:p>
    <w:p w:rsidR="00B73D40" w:rsidRDefault="00B73D40" w:rsidP="00B73D40">
      <w:pPr>
        <w:pStyle w:val="Sangradetextonormal"/>
        <w:ind w:right="-1"/>
        <w:jc w:val="center"/>
      </w:pPr>
    </w:p>
    <w:p w:rsidR="007E0D06" w:rsidRDefault="00B73D40" w:rsidP="00B73D40">
      <w:pPr>
        <w:pStyle w:val="Sangradetextonormal"/>
        <w:ind w:right="-1"/>
        <w:jc w:val="center"/>
        <w:rPr>
          <w:sz w:val="28"/>
          <w:szCs w:val="28"/>
        </w:rPr>
      </w:pPr>
      <w:r>
        <w:rPr>
          <w:sz w:val="28"/>
          <w:szCs w:val="28"/>
        </w:rPr>
        <w:t xml:space="preserve">“SERVICIO DE ABASTECIMIENTO PARA </w:t>
      </w:r>
      <w:r w:rsidR="007E0D06">
        <w:rPr>
          <w:sz w:val="28"/>
          <w:szCs w:val="28"/>
        </w:rPr>
        <w:t xml:space="preserve">EL </w:t>
      </w:r>
      <w:r w:rsidR="000A3B5C">
        <w:rPr>
          <w:sz w:val="28"/>
          <w:szCs w:val="28"/>
        </w:rPr>
        <w:t xml:space="preserve">HOSPITAL </w:t>
      </w:r>
      <w:r w:rsidR="00CC16F0">
        <w:rPr>
          <w:sz w:val="28"/>
          <w:szCs w:val="28"/>
        </w:rPr>
        <w:t xml:space="preserve">NAC. PROF. ALEJANDRO </w:t>
      </w:r>
      <w:r w:rsidR="000A3B5C">
        <w:rPr>
          <w:sz w:val="28"/>
          <w:szCs w:val="28"/>
        </w:rPr>
        <w:t>POSADAS</w:t>
      </w:r>
    </w:p>
    <w:p w:rsidR="00B73D40" w:rsidRDefault="007E0D06" w:rsidP="00B73D40">
      <w:pPr>
        <w:pStyle w:val="Sangradetextonormal"/>
        <w:ind w:right="-1"/>
        <w:jc w:val="center"/>
      </w:pPr>
      <w:r>
        <w:rPr>
          <w:sz w:val="28"/>
          <w:szCs w:val="28"/>
        </w:rPr>
        <w:t xml:space="preserve"> RUBRO: </w:t>
      </w:r>
      <w:r w:rsidR="000A3B5C">
        <w:rPr>
          <w:sz w:val="28"/>
          <w:szCs w:val="28"/>
        </w:rPr>
        <w:t>AGUA ENVASADA</w:t>
      </w:r>
    </w:p>
    <w:p w:rsidR="00B73D40" w:rsidRDefault="00B73D40" w:rsidP="00B73D40">
      <w:pPr>
        <w:pStyle w:val="Sangradetextonormal"/>
        <w:ind w:right="-1"/>
        <w:jc w:val="center"/>
      </w:pPr>
    </w:p>
    <w:p w:rsidR="00B73D40" w:rsidRPr="00BF4624" w:rsidRDefault="00B73D40" w:rsidP="00B73D40">
      <w:pPr>
        <w:pStyle w:val="Sangradetextonormal"/>
        <w:ind w:right="-1"/>
        <w:jc w:val="center"/>
        <w:rPr>
          <w:sz w:val="28"/>
          <w:szCs w:val="28"/>
        </w:rPr>
      </w:pPr>
      <w:r w:rsidRPr="00BF4624">
        <w:rPr>
          <w:sz w:val="28"/>
          <w:szCs w:val="28"/>
        </w:rPr>
        <w:t>FECHA  Y HORA DE APERTURA DE LAS OFERTAS:</w:t>
      </w:r>
    </w:p>
    <w:p w:rsidR="00B73D40" w:rsidRPr="00FD4FAE" w:rsidRDefault="007E0D06" w:rsidP="00B73D40">
      <w:pPr>
        <w:pStyle w:val="Sangradetextonormal"/>
        <w:ind w:right="-1"/>
        <w:jc w:val="center"/>
        <w:rPr>
          <w:b/>
          <w:sz w:val="28"/>
          <w:szCs w:val="28"/>
        </w:rPr>
      </w:pPr>
      <w:r>
        <w:rPr>
          <w:b/>
          <w:sz w:val="28"/>
          <w:szCs w:val="28"/>
        </w:rPr>
        <w:t>2</w:t>
      </w:r>
      <w:r w:rsidR="000A3B5C">
        <w:rPr>
          <w:b/>
          <w:sz w:val="28"/>
          <w:szCs w:val="28"/>
        </w:rPr>
        <w:t>8</w:t>
      </w:r>
      <w:r>
        <w:rPr>
          <w:b/>
          <w:sz w:val="28"/>
          <w:szCs w:val="28"/>
        </w:rPr>
        <w:t xml:space="preserve"> DE</w:t>
      </w:r>
      <w:r w:rsidR="00B73D40" w:rsidRPr="00FD20B6">
        <w:rPr>
          <w:b/>
          <w:sz w:val="28"/>
          <w:szCs w:val="28"/>
        </w:rPr>
        <w:t xml:space="preserve"> </w:t>
      </w:r>
      <w:r w:rsidR="00FD20B6" w:rsidRPr="00FD20B6">
        <w:rPr>
          <w:b/>
          <w:sz w:val="28"/>
          <w:szCs w:val="28"/>
        </w:rPr>
        <w:t>ENERO</w:t>
      </w:r>
      <w:r w:rsidR="00B73D40" w:rsidRPr="00FD20B6">
        <w:rPr>
          <w:b/>
          <w:sz w:val="28"/>
          <w:szCs w:val="28"/>
        </w:rPr>
        <w:t xml:space="preserve"> DE 201</w:t>
      </w:r>
      <w:r w:rsidR="00FD20B6" w:rsidRPr="00FD20B6">
        <w:rPr>
          <w:b/>
          <w:sz w:val="28"/>
          <w:szCs w:val="28"/>
        </w:rPr>
        <w:t>9</w:t>
      </w:r>
      <w:r w:rsidR="00B73D40" w:rsidRPr="00FD20B6">
        <w:rPr>
          <w:b/>
          <w:sz w:val="28"/>
          <w:szCs w:val="28"/>
        </w:rPr>
        <w:t>, A LAS 11.00 HS.</w:t>
      </w:r>
    </w:p>
    <w:p w:rsidR="00B73D40" w:rsidRPr="00BF4624" w:rsidRDefault="00B73D40" w:rsidP="00B73D40">
      <w:pPr>
        <w:pStyle w:val="Sangradetextonormal"/>
        <w:ind w:right="-1"/>
        <w:jc w:val="center"/>
        <w:rPr>
          <w:sz w:val="28"/>
          <w:szCs w:val="28"/>
        </w:rPr>
      </w:pPr>
    </w:p>
    <w:p w:rsidR="00B73D40" w:rsidRPr="00BF4624" w:rsidRDefault="00B73D40" w:rsidP="00B73D40">
      <w:pPr>
        <w:pStyle w:val="Sangradetextonormal"/>
        <w:ind w:right="-1"/>
        <w:jc w:val="center"/>
        <w:rPr>
          <w:sz w:val="28"/>
          <w:szCs w:val="28"/>
        </w:rPr>
      </w:pPr>
      <w:r w:rsidRPr="00BF4624">
        <w:rPr>
          <w:sz w:val="28"/>
          <w:szCs w:val="28"/>
        </w:rPr>
        <w:t>LUGAR:</w:t>
      </w:r>
    </w:p>
    <w:p w:rsidR="00B73D40" w:rsidRPr="00BF4624" w:rsidRDefault="00B73D40" w:rsidP="00B73D40">
      <w:pPr>
        <w:pStyle w:val="Sangradetextonormal"/>
        <w:ind w:right="-1"/>
        <w:jc w:val="center"/>
        <w:rPr>
          <w:sz w:val="28"/>
          <w:szCs w:val="28"/>
        </w:rPr>
      </w:pPr>
      <w:r w:rsidRPr="00BF4624">
        <w:rPr>
          <w:sz w:val="28"/>
          <w:szCs w:val="28"/>
        </w:rPr>
        <w:t>SALA DE CONFERENCIAS, 5º PISO EDIFICIO CENTRO ADMINISTRATIVO</w:t>
      </w:r>
    </w:p>
    <w:p w:rsidR="00B73D40" w:rsidRPr="00BF4624" w:rsidRDefault="00B73D40" w:rsidP="00B73D40">
      <w:pPr>
        <w:pStyle w:val="Sangradetextonormal"/>
        <w:ind w:right="-1"/>
        <w:jc w:val="center"/>
        <w:rPr>
          <w:sz w:val="28"/>
          <w:szCs w:val="28"/>
        </w:rPr>
      </w:pPr>
      <w:r w:rsidRPr="00BF4624">
        <w:rPr>
          <w:sz w:val="28"/>
          <w:szCs w:val="28"/>
        </w:rPr>
        <w:t>MERCADO CENTRAL DE BS. AS.</w:t>
      </w: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Pr="00980037" w:rsidRDefault="00B73D40" w:rsidP="00B73D40">
      <w:pPr>
        <w:pStyle w:val="Sangradetextonormal"/>
        <w:ind w:right="-1"/>
        <w:jc w:val="center"/>
        <w:rPr>
          <w:sz w:val="44"/>
          <w:szCs w:val="44"/>
        </w:rPr>
      </w:pPr>
      <w:r w:rsidRPr="00980037">
        <w:rPr>
          <w:sz w:val="44"/>
          <w:szCs w:val="44"/>
        </w:rPr>
        <w:t>PLIEGO DE BASES Y CONDICIONES</w:t>
      </w:r>
    </w:p>
    <w:p w:rsidR="00B73D40" w:rsidRDefault="00B73D40">
      <w:pPr>
        <w:jc w:val="center"/>
      </w:pPr>
    </w:p>
    <w:p w:rsidR="00B73D40" w:rsidRDefault="00B73D40">
      <w:pPr>
        <w:jc w:val="center"/>
      </w:pPr>
    </w:p>
    <w:p w:rsidR="00B73D40" w:rsidRDefault="00B73D40">
      <w:pPr>
        <w:jc w:val="center"/>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el  cual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t>IMPEDIMENTOS PARA PARTICIPAR</w:t>
      </w:r>
      <w:bookmarkEnd w:id="0"/>
      <w:bookmarkEnd w:id="1"/>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podrán </w:t>
      </w:r>
      <w:r w:rsidR="00224D4B" w:rsidRPr="00831BC8">
        <w:rPr>
          <w:sz w:val="24"/>
        </w:rPr>
        <w:t xml:space="preserve"> participar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lastRenderedPageBreak/>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 ,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Las sociedades en formación  o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Contrato,  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deberán  redactar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Boulogne</w:t>
      </w:r>
      <w:proofErr w:type="spellEnd"/>
      <w:r w:rsidRPr="00224D4B">
        <w:rPr>
          <w:sz w:val="24"/>
          <w:szCs w:val="24"/>
        </w:rPr>
        <w:t xml:space="preserve"> Sur </w:t>
      </w:r>
      <w:proofErr w:type="spellStart"/>
      <w:r w:rsidRPr="00224D4B">
        <w:rPr>
          <w:sz w:val="24"/>
          <w:szCs w:val="24"/>
        </w:rPr>
        <w:t>Mer</w:t>
      </w:r>
      <w:proofErr w:type="spellEnd"/>
      <w:r w:rsidRPr="00224D4B">
        <w:rPr>
          <w:sz w:val="24"/>
          <w:szCs w:val="24"/>
        </w:rPr>
        <w:t xml:space="preserve">, TAPIALES, </w:t>
      </w:r>
      <w:proofErr w:type="spellStart"/>
      <w:r w:rsidRPr="00224D4B">
        <w:rPr>
          <w:sz w:val="24"/>
          <w:szCs w:val="24"/>
        </w:rPr>
        <w:t>Ptdo</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la Matanza, </w:t>
      </w:r>
      <w:proofErr w:type="spellStart"/>
      <w:r w:rsidRPr="00224D4B">
        <w:rPr>
          <w:sz w:val="24"/>
          <w:szCs w:val="24"/>
        </w:rPr>
        <w:t>Pcia</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224D4B">
        <w:rPr>
          <w:rFonts w:ascii="Times New Roman" w:hAnsi="Times New Roman"/>
          <w:b w:val="0"/>
          <w:sz w:val="24"/>
          <w:szCs w:val="24"/>
        </w:rPr>
        <w:t>) Planilla de oferta</w:t>
      </w:r>
      <w:r w:rsidR="00A458BD">
        <w:rPr>
          <w:rFonts w:ascii="Times New Roman" w:hAnsi="Times New Roman"/>
          <w:b w:val="0"/>
          <w:sz w:val="24"/>
          <w:szCs w:val="24"/>
        </w:rPr>
        <w:t xml:space="preserve"> </w:t>
      </w:r>
      <w:r w:rsidR="006264AB" w:rsidRPr="00224D4B">
        <w:rPr>
          <w:rFonts w:ascii="Times New Roman" w:hAnsi="Times New Roman"/>
          <w:b w:val="0"/>
          <w:sz w:val="24"/>
          <w:szCs w:val="24"/>
        </w:rPr>
        <w:t xml:space="preserve">impresa </w:t>
      </w:r>
      <w:r w:rsidR="00561373" w:rsidRPr="00224D4B">
        <w:rPr>
          <w:rFonts w:ascii="Times New Roman" w:hAnsi="Times New Roman"/>
          <w:b w:val="0"/>
          <w:sz w:val="24"/>
          <w:szCs w:val="24"/>
        </w:rPr>
        <w:t>según modelo adjunto</w:t>
      </w:r>
      <w:r w:rsidR="00D65016">
        <w:rPr>
          <w:rFonts w:ascii="Times New Roman" w:hAnsi="Times New Roman"/>
          <w:b w:val="0"/>
          <w:sz w:val="24"/>
          <w:szCs w:val="24"/>
        </w:rPr>
        <w:t xml:space="preserve"> </w:t>
      </w:r>
      <w:r w:rsidR="00D65016" w:rsidRPr="00D65016">
        <w:rPr>
          <w:rFonts w:ascii="Times New Roman" w:hAnsi="Times New Roman"/>
          <w:sz w:val="24"/>
          <w:szCs w:val="24"/>
        </w:rPr>
        <w:t xml:space="preserve">en formato </w:t>
      </w:r>
      <w:proofErr w:type="spellStart"/>
      <w:r w:rsidR="00D65016" w:rsidRPr="00D65016">
        <w:rPr>
          <w:rFonts w:ascii="Times New Roman" w:hAnsi="Times New Roman"/>
          <w:sz w:val="24"/>
          <w:szCs w:val="24"/>
        </w:rPr>
        <w:t>excel</w:t>
      </w:r>
      <w:proofErr w:type="spellEnd"/>
      <w:r w:rsidR="00561373" w:rsidRPr="00224D4B">
        <w:rPr>
          <w:rFonts w:ascii="Times New Roman" w:hAnsi="Times New Roman"/>
          <w:b w:val="0"/>
          <w:sz w:val="24"/>
          <w:szCs w:val="24"/>
        </w:rPr>
        <w:t>. En la misma se deberá aclarar la marca</w:t>
      </w:r>
      <w:r w:rsidR="00691350" w:rsidRPr="00224D4B">
        <w:rPr>
          <w:rFonts w:ascii="Times New Roman" w:hAnsi="Times New Roman"/>
          <w:b w:val="0"/>
          <w:sz w:val="24"/>
          <w:szCs w:val="24"/>
        </w:rPr>
        <w:t xml:space="preserve"> del producto o productos que se cotizan,  precios unitarios</w:t>
      </w:r>
      <w:r w:rsidR="003C0F70" w:rsidRPr="00224D4B">
        <w:rPr>
          <w:rFonts w:ascii="Times New Roman" w:hAnsi="Times New Roman"/>
          <w:b w:val="0"/>
          <w:sz w:val="24"/>
          <w:szCs w:val="24"/>
        </w:rPr>
        <w:t>,</w:t>
      </w:r>
      <w:r w:rsidR="00A458BD">
        <w:rPr>
          <w:rFonts w:ascii="Times New Roman" w:hAnsi="Times New Roman"/>
          <w:b w:val="0"/>
          <w:sz w:val="24"/>
          <w:szCs w:val="24"/>
        </w:rPr>
        <w:t xml:space="preserve"> </w:t>
      </w:r>
      <w:r w:rsidR="003C0F70" w:rsidRPr="00224D4B">
        <w:rPr>
          <w:rFonts w:ascii="Times New Roman" w:hAnsi="Times New Roman"/>
          <w:b w:val="0"/>
          <w:sz w:val="24"/>
          <w:szCs w:val="24"/>
        </w:rPr>
        <w:t>totales y especificaciones técnicas (contenido, envase, etc.)</w:t>
      </w:r>
      <w:r w:rsidR="00064F90" w:rsidRPr="00224D4B">
        <w:rPr>
          <w:rFonts w:ascii="Times New Roman" w:hAnsi="Times New Roman"/>
          <w:b w:val="0"/>
          <w:sz w:val="24"/>
          <w:szCs w:val="24"/>
        </w:rPr>
        <w:t xml:space="preserve">.      </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w:t>
      </w:r>
      <w:proofErr w:type="spellStart"/>
      <w:r w:rsidR="00561373" w:rsidRPr="00224D4B">
        <w:rPr>
          <w:rFonts w:ascii="Times New Roman" w:hAnsi="Times New Roman"/>
          <w:b w:val="0"/>
          <w:sz w:val="24"/>
          <w:szCs w:val="24"/>
        </w:rPr>
        <w:t>Pendrive</w:t>
      </w:r>
      <w:proofErr w:type="spellEnd"/>
      <w:r w:rsidR="00561373" w:rsidRPr="00224D4B">
        <w:rPr>
          <w:rFonts w:ascii="Times New Roman" w:hAnsi="Times New Roman"/>
          <w:b w:val="0"/>
          <w:sz w:val="24"/>
          <w:szCs w:val="24"/>
        </w:rPr>
        <w:t xml:space="preserve">) conteniendo 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existan diferencias de precios entre la planilla de oferta presentada en forma impresa y el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6º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del monto total de la cotización,  conforme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224D4B" w:rsidRDefault="00B203F2" w:rsidP="00B203F2">
      <w:pPr>
        <w:numPr>
          <w:ilvl w:val="0"/>
          <w:numId w:val="10"/>
        </w:numPr>
        <w:jc w:val="both"/>
        <w:rPr>
          <w:sz w:val="24"/>
          <w:szCs w:val="24"/>
        </w:rPr>
      </w:pPr>
      <w:r w:rsidRPr="00224D4B">
        <w:rPr>
          <w:sz w:val="24"/>
          <w:szCs w:val="24"/>
        </w:rPr>
        <w:t xml:space="preserve">Mediante Depósito en efectivo en moneda nacional o extranjera (Dólares Estadounidenses), en la Tesorería de la Corporación. </w:t>
      </w:r>
    </w:p>
    <w:p w:rsidR="00B203F2" w:rsidRPr="00224D4B" w:rsidRDefault="00B203F2" w:rsidP="00B203F2">
      <w:pPr>
        <w:tabs>
          <w:tab w:val="left" w:pos="426"/>
        </w:tabs>
        <w:ind w:left="426" w:hanging="426"/>
        <w:jc w:val="both"/>
        <w:rPr>
          <w:sz w:val="24"/>
          <w:szCs w:val="24"/>
        </w:rPr>
      </w:pPr>
    </w:p>
    <w:p w:rsidR="00B203F2" w:rsidRPr="00224D4B" w:rsidRDefault="00B203F2" w:rsidP="00B203F2">
      <w:pPr>
        <w:numPr>
          <w:ilvl w:val="0"/>
          <w:numId w:val="10"/>
        </w:numPr>
        <w:tabs>
          <w:tab w:val="left" w:pos="426"/>
        </w:tabs>
        <w:jc w:val="both"/>
        <w:rPr>
          <w:sz w:val="24"/>
          <w:szCs w:val="24"/>
        </w:rPr>
      </w:pPr>
      <w:r w:rsidRPr="00224D4B">
        <w:rPr>
          <w:sz w:val="24"/>
          <w:szCs w:val="24"/>
        </w:rPr>
        <w:t>Póliza de Seguro de Caución a favor de la Corporación,</w:t>
      </w:r>
      <w:r w:rsidR="00A458BD">
        <w:rPr>
          <w:sz w:val="24"/>
          <w:szCs w:val="24"/>
        </w:rPr>
        <w:t xml:space="preserve"> </w:t>
      </w:r>
      <w:r w:rsidRPr="00224D4B">
        <w:rPr>
          <w:sz w:val="24"/>
          <w:szCs w:val="24"/>
        </w:rPr>
        <w:t>a entera satisfacción de la Corporación.</w:t>
      </w:r>
    </w:p>
    <w:p w:rsidR="00B203F2" w:rsidRPr="00224D4B" w:rsidRDefault="00B203F2" w:rsidP="00B203F2">
      <w:pPr>
        <w:pStyle w:val="Prrafodelista"/>
        <w:rPr>
          <w:sz w:val="24"/>
          <w:szCs w:val="24"/>
        </w:rPr>
      </w:pPr>
    </w:p>
    <w:p w:rsidR="00B203F2" w:rsidRPr="00224D4B" w:rsidRDefault="00B203F2" w:rsidP="00B203F2">
      <w:pPr>
        <w:numPr>
          <w:ilvl w:val="0"/>
          <w:numId w:val="10"/>
        </w:numPr>
        <w:jc w:val="both"/>
        <w:rPr>
          <w:sz w:val="24"/>
          <w:szCs w:val="24"/>
        </w:rPr>
      </w:pPr>
      <w:r w:rsidRPr="00224D4B">
        <w:rPr>
          <w:sz w:val="24"/>
          <w:szCs w:val="24"/>
        </w:rPr>
        <w:t>Con cheque a la orden de la Corporación, depositado en la Tesorería con 24 hs. de anticipació</w:t>
      </w:r>
      <w:r w:rsidR="00662192" w:rsidRPr="00224D4B">
        <w:rPr>
          <w:sz w:val="24"/>
          <w:szCs w:val="24"/>
        </w:rPr>
        <w:t>n al acto de apertura.</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Oferta</w:t>
      </w:r>
      <w:r w:rsidR="00A614EB" w:rsidRPr="00224D4B">
        <w:rPr>
          <w:sz w:val="24"/>
          <w:szCs w:val="24"/>
        </w:rPr>
        <w:t xml:space="preserve">, </w:t>
      </w:r>
      <w:r w:rsidR="00561373" w:rsidRPr="00224D4B">
        <w:rPr>
          <w:sz w:val="24"/>
          <w:szCs w:val="24"/>
        </w:rPr>
        <w:t xml:space="preserve"> o</w:t>
      </w:r>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2" w:name="_Toc482347307"/>
      <w:bookmarkStart w:id="3" w:name="_Toc523991731"/>
      <w:r w:rsidRPr="00B73D40">
        <w:rPr>
          <w:rFonts w:ascii="Times New Roman" w:hAnsi="Times New Roman"/>
          <w:b w:val="0"/>
          <w:sz w:val="24"/>
          <w:szCs w:val="24"/>
        </w:rPr>
        <w:t>CONSULTAS</w:t>
      </w:r>
      <w:bookmarkEnd w:id="2"/>
      <w:bookmarkEnd w:id="3"/>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 de la documentación licitatoria</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  LAS OFERTAS</w:t>
      </w: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9</w:t>
      </w:r>
      <w:proofErr w:type="gramStart"/>
      <w:r w:rsidRPr="00224D4B">
        <w:rPr>
          <w:sz w:val="24"/>
          <w:szCs w:val="24"/>
          <w:u w:val="single"/>
        </w:rPr>
        <w:t xml:space="preserve">º </w:t>
      </w:r>
      <w:r w:rsidRPr="00224D4B">
        <w:rPr>
          <w:sz w:val="24"/>
          <w:szCs w:val="24"/>
        </w:rPr>
        <w:t>:</w:t>
      </w:r>
      <w:proofErr w:type="gramEnd"/>
      <w:r w:rsidRPr="00224D4B">
        <w:rPr>
          <w:sz w:val="24"/>
          <w:szCs w:val="24"/>
        </w:rPr>
        <w:t xml:space="preserve">   En el día, hora y lugar establecido en </w:t>
      </w:r>
      <w:r w:rsidR="00304CF0" w:rsidRPr="00224D4B">
        <w:rPr>
          <w:sz w:val="24"/>
          <w:szCs w:val="24"/>
        </w:rPr>
        <w:t>el aviso de convocatoria</w:t>
      </w:r>
      <w:r w:rsidRPr="00224D4B">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224D4B">
        <w:rPr>
          <w:sz w:val="24"/>
          <w:szCs w:val="24"/>
        </w:rPr>
        <w:t xml:space="preserve"> 4</w:t>
      </w:r>
      <w:r w:rsidRPr="00224D4B">
        <w:rPr>
          <w:sz w:val="24"/>
          <w:szCs w:val="24"/>
        </w:rPr>
        <w:t>º. Una vez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662192" w:rsidRPr="00224D4B">
        <w:rPr>
          <w:sz w:val="24"/>
          <w:szCs w:val="24"/>
        </w:rPr>
        <w:t>5</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 xml:space="preserve">que se computará siempre a partir de la fecha de apertura. Si vencido dicho plazo el oferente no se retracta por escrito dentro de los tres (3) días hábiles siguientes,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4" w:name="_Toc482347296"/>
      <w:bookmarkStart w:id="5" w:name="_Toc523991720"/>
      <w:r w:rsidRPr="00FD6EDB">
        <w:rPr>
          <w:rFonts w:ascii="Times New Roman" w:hAnsi="Times New Roman"/>
          <w:b w:val="0"/>
          <w:sz w:val="24"/>
          <w:szCs w:val="24"/>
        </w:rPr>
        <w:t>OFERTAS INADMISIBLES</w:t>
      </w:r>
      <w:bookmarkEnd w:id="4"/>
      <w:bookmarkEnd w:id="5"/>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Corporación  podrá intimar a los oferentes a subsanar errores de forma o solicitar </w:t>
      </w:r>
      <w:r w:rsidR="00923D92">
        <w:rPr>
          <w:sz w:val="24"/>
          <w:szCs w:val="24"/>
        </w:rPr>
        <w:t xml:space="preserve">aclaraciones y/o </w:t>
      </w:r>
      <w:r w:rsidRPr="00224D4B">
        <w:rPr>
          <w:sz w:val="24"/>
          <w:szCs w:val="24"/>
        </w:rPr>
        <w:t>ampliación de la documentación presentada, cuando la misma fuese entregada en forma parcial o incompleta.  En tal caso, se lo  podrá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del Mercado Central de Buenos Aires se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6" w:name="_Toc482347299"/>
      <w:bookmarkStart w:id="7" w:name="_Toc523991723"/>
      <w:r w:rsidRPr="00E83917">
        <w:rPr>
          <w:rFonts w:ascii="Times New Roman" w:hAnsi="Times New Roman"/>
          <w:b w:val="0"/>
          <w:sz w:val="24"/>
          <w:szCs w:val="24"/>
        </w:rPr>
        <w:t>VISTAS, IMPUGNACIONES Y TRASLADOS</w:t>
      </w:r>
      <w:bookmarkEnd w:id="6"/>
      <w:bookmarkEnd w:id="7"/>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 xml:space="preserve">Salvo indicación contraria en el Pedido de Presupuesto o Pliego de Condiciones Particulares, se dará vista de las ofertas, durante dos (2) días en el lugar y horario que 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w:t>
      </w:r>
      <w:proofErr w:type="gramStart"/>
      <w:r w:rsidR="001F5432" w:rsidRPr="00224D4B">
        <w:rPr>
          <w:sz w:val="24"/>
          <w:szCs w:val="24"/>
        </w:rPr>
        <w:t>y</w:t>
      </w:r>
      <w:proofErr w:type="gramEnd"/>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8"/>
      <w:bookmarkEnd w:id="9"/>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proofErr w:type="gramStart"/>
      <w:r w:rsidRPr="00224D4B">
        <w:rPr>
          <w:sz w:val="24"/>
          <w:szCs w:val="24"/>
          <w:u w:val="single"/>
        </w:rPr>
        <w:t>º :</w:t>
      </w:r>
      <w:proofErr w:type="gramEnd"/>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proponente </w:t>
      </w:r>
      <w:r w:rsidR="00A4265C" w:rsidRPr="00C6586A">
        <w:rPr>
          <w:sz w:val="24"/>
          <w:szCs w:val="24"/>
        </w:rPr>
        <w:t xml:space="preserve"> podrá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 xml:space="preserve">Para </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294443" w:rsidRPr="00C6586A">
        <w:rPr>
          <w:sz w:val="24"/>
          <w:szCs w:val="24"/>
        </w:rPr>
        <w:t xml:space="preserve">, </w:t>
      </w:r>
      <w:r w:rsidR="00A37190" w:rsidRPr="00C6586A">
        <w:rPr>
          <w:sz w:val="24"/>
          <w:szCs w:val="24"/>
        </w:rPr>
        <w:t xml:space="preserve"> 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Dentro de los tres (3)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ículo 6º</w:t>
      </w:r>
      <w:r w:rsidRPr="00224D4B">
        <w:rPr>
          <w:sz w:val="24"/>
          <w:szCs w:val="24"/>
        </w:rPr>
        <w:t xml:space="preserve"> del presente pliego.</w:t>
      </w:r>
      <w:r w:rsidR="00C710E9" w:rsidRPr="00224D4B">
        <w:rPr>
          <w:sz w:val="24"/>
          <w:szCs w:val="24"/>
        </w:rPr>
        <w:t xml:space="preserve"> El Adjudicatario podrá reemplazar la Garantía de Oferta por la Garantía de Adjudicación, mediante comunicación fehaciente.</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0" w:name="_Toc482347303"/>
      <w:bookmarkStart w:id="11" w:name="_Toc523991727"/>
      <w:r w:rsidRPr="00A973D2">
        <w:rPr>
          <w:rFonts w:ascii="Times New Roman" w:hAnsi="Times New Roman"/>
          <w:b w:val="0"/>
          <w:sz w:val="24"/>
          <w:szCs w:val="24"/>
        </w:rPr>
        <w:t>FORMALIZACION DEL CONTRATO</w:t>
      </w:r>
      <w:bookmarkEnd w:id="10"/>
      <w:bookmarkEnd w:id="11"/>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transcurrido  el término de 48 hs.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El Adjudicatario deberá efectuar el sellado de ley</w:t>
      </w:r>
      <w:r w:rsidR="00610D58" w:rsidRPr="00224D4B">
        <w:rPr>
          <w:sz w:val="24"/>
          <w:szCs w:val="24"/>
        </w:rPr>
        <w:t>,</w:t>
      </w:r>
      <w:r w:rsidRPr="00224D4B">
        <w:rPr>
          <w:sz w:val="24"/>
          <w:szCs w:val="24"/>
        </w:rPr>
        <w:t xml:space="preserve">  por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Salvo indicación contraria, los precios deberán fijarse en Pesos o Moneda de Curso Legal vigente y deberán incluir el IMPUESTO AL VALOR AGREGADO (I.V.A.) y  todo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themeColor="text1"/>
          <w:sz w:val="24"/>
          <w:szCs w:val="24"/>
        </w:rPr>
      </w:pPr>
      <w:r w:rsidRPr="00260B5F">
        <w:rPr>
          <w:color w:val="000000" w:themeColor="text1"/>
          <w:sz w:val="24"/>
          <w:szCs w:val="24"/>
          <w:u w:val="single"/>
        </w:rPr>
        <w:t xml:space="preserve">Artículo </w:t>
      </w:r>
      <w:r w:rsidR="00E83917" w:rsidRPr="00260B5F">
        <w:rPr>
          <w:color w:val="000000" w:themeColor="text1"/>
          <w:sz w:val="24"/>
          <w:szCs w:val="24"/>
          <w:u w:val="single"/>
        </w:rPr>
        <w:t>23</w:t>
      </w:r>
      <w:r w:rsidRPr="00260B5F">
        <w:rPr>
          <w:color w:val="000000" w:themeColor="text1"/>
          <w:sz w:val="24"/>
          <w:szCs w:val="24"/>
        </w:rPr>
        <w:t>º: La Corporación facturará al Adjudicatario en concepto de Gastos</w:t>
      </w:r>
      <w:r w:rsidR="003F304C" w:rsidRPr="00260B5F">
        <w:rPr>
          <w:color w:val="000000" w:themeColor="text1"/>
          <w:sz w:val="24"/>
          <w:szCs w:val="24"/>
        </w:rPr>
        <w:t>, honorarios y gestión ad</w:t>
      </w:r>
      <w:r w:rsidRPr="00260B5F">
        <w:rPr>
          <w:color w:val="000000" w:themeColor="text1"/>
          <w:sz w:val="24"/>
          <w:szCs w:val="24"/>
        </w:rPr>
        <w:t>ministrat</w:t>
      </w:r>
      <w:r w:rsidR="006525CD" w:rsidRPr="00260B5F">
        <w:rPr>
          <w:color w:val="000000" w:themeColor="text1"/>
          <w:sz w:val="24"/>
          <w:szCs w:val="24"/>
        </w:rPr>
        <w:t>iv</w:t>
      </w:r>
      <w:r w:rsidR="003F304C" w:rsidRPr="00260B5F">
        <w:rPr>
          <w:color w:val="000000" w:themeColor="text1"/>
          <w:sz w:val="24"/>
          <w:szCs w:val="24"/>
        </w:rPr>
        <w:t>a</w:t>
      </w:r>
      <w:r w:rsidR="006525CD" w:rsidRPr="00260B5F">
        <w:rPr>
          <w:color w:val="000000" w:themeColor="text1"/>
          <w:sz w:val="24"/>
          <w:szCs w:val="24"/>
        </w:rPr>
        <w:t xml:space="preserve">, </w:t>
      </w:r>
      <w:r w:rsidR="006525CD" w:rsidRPr="00260B5F">
        <w:rPr>
          <w:color w:val="000000" w:themeColor="text1"/>
          <w:sz w:val="24"/>
          <w:szCs w:val="24"/>
          <w:u w:val="single"/>
        </w:rPr>
        <w:t xml:space="preserve">un importe equivalente al </w:t>
      </w:r>
      <w:r w:rsidR="00B46860" w:rsidRPr="00260B5F">
        <w:rPr>
          <w:color w:val="000000" w:themeColor="text1"/>
          <w:sz w:val="24"/>
          <w:szCs w:val="24"/>
          <w:u w:val="single"/>
        </w:rPr>
        <w:t xml:space="preserve">diez </w:t>
      </w:r>
      <w:r w:rsidR="006525CD" w:rsidRPr="00260B5F">
        <w:rPr>
          <w:color w:val="000000" w:themeColor="text1"/>
          <w:sz w:val="24"/>
          <w:szCs w:val="24"/>
          <w:u w:val="single"/>
        </w:rPr>
        <w:t>por</w:t>
      </w:r>
      <w:r w:rsidRPr="00260B5F">
        <w:rPr>
          <w:color w:val="000000" w:themeColor="text1"/>
          <w:sz w:val="24"/>
          <w:szCs w:val="24"/>
          <w:u w:val="single"/>
        </w:rPr>
        <w:t xml:space="preserve"> ciento  (</w:t>
      </w:r>
      <w:r w:rsidR="00F709DA" w:rsidRPr="00260B5F">
        <w:rPr>
          <w:color w:val="000000" w:themeColor="text1"/>
          <w:sz w:val="24"/>
          <w:szCs w:val="24"/>
          <w:u w:val="single"/>
        </w:rPr>
        <w:t>1</w:t>
      </w:r>
      <w:r w:rsidR="00B46860" w:rsidRPr="00260B5F">
        <w:rPr>
          <w:color w:val="000000" w:themeColor="text1"/>
          <w:sz w:val="24"/>
          <w:szCs w:val="24"/>
          <w:u w:val="single"/>
        </w:rPr>
        <w:t>0</w:t>
      </w:r>
      <w:r w:rsidRPr="00260B5F">
        <w:rPr>
          <w:color w:val="000000" w:themeColor="text1"/>
          <w:sz w:val="24"/>
          <w:szCs w:val="24"/>
          <w:u w:val="single"/>
        </w:rPr>
        <w:t xml:space="preserve"> %) del monto total de la Orden de Compra, </w:t>
      </w:r>
      <w:r w:rsidR="005A29C2">
        <w:rPr>
          <w:color w:val="000000" w:themeColor="text1"/>
          <w:sz w:val="24"/>
          <w:szCs w:val="24"/>
          <w:u w:val="single"/>
        </w:rPr>
        <w:t xml:space="preserve"> o el que se determine para cada Organismo en particular</w:t>
      </w:r>
      <w:r w:rsidR="005A29C2" w:rsidRPr="005A29C2">
        <w:rPr>
          <w:color w:val="000000" w:themeColor="text1"/>
          <w:sz w:val="24"/>
          <w:szCs w:val="24"/>
        </w:rPr>
        <w:t xml:space="preserve">, </w:t>
      </w:r>
      <w:r w:rsidRPr="005A29C2">
        <w:rPr>
          <w:color w:val="000000" w:themeColor="text1"/>
          <w:sz w:val="24"/>
          <w:szCs w:val="24"/>
        </w:rPr>
        <w:t xml:space="preserve"> </w:t>
      </w:r>
      <w:r w:rsidR="00ED76DD">
        <w:rPr>
          <w:color w:val="000000" w:themeColor="text1"/>
          <w:sz w:val="24"/>
          <w:szCs w:val="24"/>
        </w:rPr>
        <w:t xml:space="preserve">de acuerdo a la modalidad establecida en el Artículo </w:t>
      </w:r>
      <w:r w:rsidR="009A35CC">
        <w:rPr>
          <w:color w:val="000000" w:themeColor="text1"/>
          <w:sz w:val="24"/>
          <w:szCs w:val="24"/>
        </w:rPr>
        <w:t>49º</w:t>
      </w:r>
      <w:r w:rsidR="00ED76DD">
        <w:rPr>
          <w:color w:val="000000" w:themeColor="text1"/>
          <w:sz w:val="24"/>
          <w:szCs w:val="24"/>
        </w:rPr>
        <w:t xml:space="preserve"> del Reglamento </w:t>
      </w:r>
      <w:r w:rsidR="009A35CC">
        <w:rPr>
          <w:color w:val="000000" w:themeColor="text1"/>
          <w:sz w:val="24"/>
          <w:szCs w:val="24"/>
        </w:rPr>
        <w:t xml:space="preserve">para el </w:t>
      </w:r>
      <w:r w:rsidR="00ED76DD">
        <w:rPr>
          <w:color w:val="000000" w:themeColor="text1"/>
          <w:sz w:val="24"/>
          <w:szCs w:val="24"/>
        </w:rPr>
        <w:t xml:space="preserve"> Servicio de Abastecimiento.</w:t>
      </w:r>
    </w:p>
    <w:p w:rsidR="000B05D3" w:rsidRDefault="000B05D3">
      <w:pPr>
        <w:jc w:val="both"/>
        <w:rPr>
          <w:color w:val="000000" w:themeColor="text1"/>
          <w:sz w:val="24"/>
          <w:szCs w:val="24"/>
        </w:rPr>
      </w:pPr>
    </w:p>
    <w:p w:rsidR="000B05D3" w:rsidRPr="00224D4B" w:rsidRDefault="000B05D3">
      <w:pPr>
        <w:jc w:val="both"/>
        <w:rPr>
          <w:color w:val="000000" w:themeColor="text1"/>
          <w:sz w:val="24"/>
          <w:szCs w:val="24"/>
        </w:rPr>
      </w:pPr>
    </w:p>
    <w:p w:rsidR="00691350" w:rsidRPr="00224D4B" w:rsidRDefault="00691350">
      <w:pPr>
        <w:jc w:val="both"/>
        <w:rPr>
          <w:color w:val="000000" w:themeColor="text1"/>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º</w:t>
      </w:r>
      <w:proofErr w:type="gramStart"/>
      <w:r w:rsidR="00691350" w:rsidRPr="00224D4B">
        <w:rPr>
          <w:sz w:val="24"/>
          <w:u w:val="single"/>
          <w:lang w:val="es-ES_tradnl"/>
        </w:rPr>
        <w:t xml:space="preserve">: </w:t>
      </w:r>
      <w:r w:rsidR="00691350" w:rsidRPr="00224D4B">
        <w:rPr>
          <w:sz w:val="24"/>
        </w:rPr>
        <w:t xml:space="preserve"> LA</w:t>
      </w:r>
      <w:proofErr w:type="gramEnd"/>
      <w:r w:rsidR="00691350" w:rsidRPr="00224D4B">
        <w:rPr>
          <w:sz w:val="24"/>
        </w:rPr>
        <w:t xml:space="preserve">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1A27C4" w:rsidRPr="00474FE1" w:rsidRDefault="001A27C4" w:rsidP="00474FE1">
      <w:pPr>
        <w:jc w:val="center"/>
        <w:rPr>
          <w:b/>
          <w:sz w:val="32"/>
          <w:szCs w:val="32"/>
        </w:rPr>
      </w:pPr>
      <w:r w:rsidRPr="00474FE1">
        <w:rPr>
          <w:b/>
          <w:sz w:val="32"/>
          <w:szCs w:val="32"/>
        </w:rPr>
        <w:t>CONDICIONES PARTICULARES</w:t>
      </w:r>
    </w:p>
    <w:p w:rsidR="001A27C4" w:rsidRDefault="001A27C4">
      <w:pPr>
        <w:jc w:val="both"/>
        <w:rPr>
          <w:b/>
          <w:sz w:val="24"/>
          <w:szCs w:val="24"/>
        </w:rPr>
      </w:pPr>
    </w:p>
    <w:p w:rsidR="001A27C4" w:rsidRDefault="001A27C4">
      <w:pPr>
        <w:jc w:val="both"/>
        <w:rPr>
          <w:b/>
          <w:sz w:val="24"/>
          <w:szCs w:val="24"/>
        </w:rPr>
      </w:pPr>
    </w:p>
    <w:p w:rsidR="001A27C4" w:rsidRDefault="001A27C4">
      <w:pPr>
        <w:jc w:val="both"/>
        <w:rPr>
          <w:b/>
          <w:sz w:val="24"/>
          <w:szCs w:val="24"/>
        </w:rPr>
      </w:pPr>
    </w:p>
    <w:p w:rsidR="001A27C4" w:rsidRDefault="001A27C4" w:rsidP="001A27C4">
      <w:pPr>
        <w:pStyle w:val="Prrafodelista"/>
        <w:numPr>
          <w:ilvl w:val="0"/>
          <w:numId w:val="16"/>
        </w:numPr>
        <w:jc w:val="both"/>
        <w:rPr>
          <w:sz w:val="24"/>
          <w:szCs w:val="24"/>
        </w:rPr>
      </w:pPr>
      <w:r w:rsidRPr="00474FE1">
        <w:rPr>
          <w:b/>
          <w:sz w:val="24"/>
          <w:szCs w:val="24"/>
        </w:rPr>
        <w:t>Organismo  requirente</w:t>
      </w:r>
      <w:r w:rsidR="006A3E50">
        <w:rPr>
          <w:sz w:val="24"/>
          <w:szCs w:val="24"/>
        </w:rPr>
        <w:t xml:space="preserve">: </w:t>
      </w:r>
      <w:r w:rsidR="00CA362F">
        <w:rPr>
          <w:sz w:val="24"/>
          <w:szCs w:val="24"/>
        </w:rPr>
        <w:t>HOSPITAL NAC. PROF. ALEJANDRO POSADAS</w:t>
      </w:r>
    </w:p>
    <w:p w:rsidR="001A27C4" w:rsidRPr="001C66FB" w:rsidRDefault="001C66FB" w:rsidP="001A27C4">
      <w:pPr>
        <w:pStyle w:val="Prrafodelista"/>
        <w:numPr>
          <w:ilvl w:val="0"/>
          <w:numId w:val="16"/>
        </w:numPr>
        <w:jc w:val="both"/>
        <w:rPr>
          <w:sz w:val="24"/>
          <w:szCs w:val="24"/>
        </w:rPr>
      </w:pPr>
      <w:r w:rsidRPr="001C66FB">
        <w:rPr>
          <w:b/>
          <w:sz w:val="24"/>
          <w:szCs w:val="24"/>
        </w:rPr>
        <w:t>Lugar de entrega</w:t>
      </w:r>
      <w:r w:rsidRPr="001C66FB">
        <w:rPr>
          <w:sz w:val="24"/>
          <w:szCs w:val="24"/>
        </w:rPr>
        <w:t xml:space="preserve">: </w:t>
      </w:r>
      <w:proofErr w:type="spellStart"/>
      <w:r w:rsidRPr="001C66FB">
        <w:rPr>
          <w:sz w:val="24"/>
          <w:szCs w:val="24"/>
        </w:rPr>
        <w:t>Pte</w:t>
      </w:r>
      <w:proofErr w:type="spellEnd"/>
      <w:r w:rsidRPr="001C66FB">
        <w:rPr>
          <w:sz w:val="24"/>
          <w:szCs w:val="24"/>
        </w:rPr>
        <w:t xml:space="preserve">. </w:t>
      </w:r>
      <w:proofErr w:type="spellStart"/>
      <w:r w:rsidRPr="001C66FB">
        <w:rPr>
          <w:sz w:val="24"/>
          <w:szCs w:val="24"/>
          <w:lang w:val="es-AR"/>
        </w:rPr>
        <w:t>Illia</w:t>
      </w:r>
      <w:proofErr w:type="spellEnd"/>
      <w:r w:rsidRPr="001C66FB">
        <w:rPr>
          <w:sz w:val="24"/>
          <w:szCs w:val="24"/>
          <w:lang w:val="es-AR"/>
        </w:rPr>
        <w:t xml:space="preserve"> y Marconi s/n. Cocina Central, subsuelo (sector B) del Hospital.</w:t>
      </w:r>
    </w:p>
    <w:p w:rsidR="00850EB2" w:rsidRPr="00474FE1" w:rsidRDefault="00850EB2" w:rsidP="001A27C4">
      <w:pPr>
        <w:pStyle w:val="Prrafodelista"/>
        <w:numPr>
          <w:ilvl w:val="0"/>
          <w:numId w:val="16"/>
        </w:numPr>
        <w:jc w:val="both"/>
        <w:rPr>
          <w:sz w:val="24"/>
          <w:szCs w:val="24"/>
        </w:rPr>
      </w:pPr>
      <w:r>
        <w:rPr>
          <w:b/>
          <w:sz w:val="24"/>
          <w:szCs w:val="24"/>
        </w:rPr>
        <w:t>Periodicidad de entrega</w:t>
      </w:r>
      <w:r w:rsidRPr="00850EB2">
        <w:rPr>
          <w:sz w:val="24"/>
          <w:szCs w:val="24"/>
        </w:rPr>
        <w:t>:</w:t>
      </w:r>
      <w:r>
        <w:rPr>
          <w:sz w:val="24"/>
          <w:szCs w:val="24"/>
        </w:rPr>
        <w:t xml:space="preserve"> la entrega de los productos se realizará en forma</w:t>
      </w:r>
      <w:r w:rsidR="00CA362F">
        <w:rPr>
          <w:sz w:val="24"/>
          <w:szCs w:val="24"/>
        </w:rPr>
        <w:t xml:space="preserve"> quincenal</w:t>
      </w:r>
      <w:r>
        <w:rPr>
          <w:sz w:val="24"/>
          <w:szCs w:val="24"/>
        </w:rPr>
        <w:t>, a solicitud de la Corporación.</w:t>
      </w:r>
    </w:p>
    <w:p w:rsidR="001A27C4" w:rsidRPr="00474FE1" w:rsidRDefault="00474FE1" w:rsidP="001A27C4">
      <w:pPr>
        <w:pStyle w:val="Prrafodelista"/>
        <w:numPr>
          <w:ilvl w:val="0"/>
          <w:numId w:val="16"/>
        </w:numPr>
        <w:jc w:val="both"/>
        <w:rPr>
          <w:sz w:val="24"/>
          <w:szCs w:val="24"/>
        </w:rPr>
      </w:pPr>
      <w:r w:rsidRPr="00474FE1">
        <w:rPr>
          <w:b/>
          <w:sz w:val="24"/>
          <w:szCs w:val="24"/>
        </w:rPr>
        <w:t>Vigencia del Contrato</w:t>
      </w:r>
      <w:r w:rsidRPr="00474FE1">
        <w:rPr>
          <w:sz w:val="24"/>
          <w:szCs w:val="24"/>
        </w:rPr>
        <w:t xml:space="preserve">: </w:t>
      </w:r>
      <w:r w:rsidR="00CA362F">
        <w:rPr>
          <w:sz w:val="24"/>
          <w:szCs w:val="24"/>
        </w:rPr>
        <w:t>12 meses a partir de la</w:t>
      </w:r>
      <w:r w:rsidR="00E22451">
        <w:rPr>
          <w:sz w:val="24"/>
          <w:szCs w:val="24"/>
        </w:rPr>
        <w:t xml:space="preserve"> recepción de la O.C.</w:t>
      </w:r>
      <w:r w:rsidR="00CA362F">
        <w:rPr>
          <w:sz w:val="24"/>
          <w:szCs w:val="24"/>
        </w:rPr>
        <w:t>, con revisión de precios en forma trimestral.</w:t>
      </w:r>
    </w:p>
    <w:p w:rsidR="00474FE1" w:rsidRPr="00474FE1" w:rsidRDefault="00474FE1" w:rsidP="001A27C4">
      <w:pPr>
        <w:pStyle w:val="Prrafodelista"/>
        <w:numPr>
          <w:ilvl w:val="0"/>
          <w:numId w:val="16"/>
        </w:numPr>
        <w:jc w:val="both"/>
        <w:rPr>
          <w:sz w:val="24"/>
          <w:szCs w:val="24"/>
        </w:rPr>
      </w:pPr>
      <w:r w:rsidRPr="00474FE1">
        <w:rPr>
          <w:b/>
          <w:sz w:val="24"/>
          <w:szCs w:val="24"/>
        </w:rPr>
        <w:t>Cantidades</w:t>
      </w:r>
      <w:r w:rsidR="009514C1">
        <w:rPr>
          <w:b/>
          <w:sz w:val="24"/>
          <w:szCs w:val="24"/>
        </w:rPr>
        <w:t xml:space="preserve"> a suministrar</w:t>
      </w:r>
      <w:r w:rsidRPr="00474FE1">
        <w:rPr>
          <w:sz w:val="24"/>
          <w:szCs w:val="24"/>
        </w:rPr>
        <w:t xml:space="preserve">: </w:t>
      </w:r>
      <w:r w:rsidR="00CA362F">
        <w:rPr>
          <w:sz w:val="24"/>
          <w:szCs w:val="24"/>
        </w:rPr>
        <w:t xml:space="preserve">Consumo promedio mensual 1.500 </w:t>
      </w:r>
      <w:proofErr w:type="spellStart"/>
      <w:r w:rsidR="00CA362F">
        <w:rPr>
          <w:sz w:val="24"/>
          <w:szCs w:val="24"/>
        </w:rPr>
        <w:t>lts</w:t>
      </w:r>
      <w:proofErr w:type="spellEnd"/>
      <w:r w:rsidR="00CA362F">
        <w:rPr>
          <w:sz w:val="24"/>
          <w:szCs w:val="24"/>
        </w:rPr>
        <w:t xml:space="preserve">. </w:t>
      </w:r>
      <w:proofErr w:type="spellStart"/>
      <w:r w:rsidR="001E4FD9">
        <w:rPr>
          <w:sz w:val="24"/>
          <w:szCs w:val="24"/>
        </w:rPr>
        <w:t>a</w:t>
      </w:r>
      <w:r w:rsidR="00CA362F">
        <w:rPr>
          <w:sz w:val="24"/>
          <w:szCs w:val="24"/>
        </w:rPr>
        <w:t>prox</w:t>
      </w:r>
      <w:proofErr w:type="spellEnd"/>
      <w:r w:rsidR="00CA362F">
        <w:rPr>
          <w:sz w:val="24"/>
          <w:szCs w:val="24"/>
        </w:rPr>
        <w:t xml:space="preserve"> </w:t>
      </w:r>
    </w:p>
    <w:p w:rsidR="00474FE1" w:rsidRPr="00FF0A91" w:rsidRDefault="00474FE1" w:rsidP="001A27C4">
      <w:pPr>
        <w:pStyle w:val="Prrafodelista"/>
        <w:numPr>
          <w:ilvl w:val="0"/>
          <w:numId w:val="16"/>
        </w:numPr>
        <w:jc w:val="both"/>
        <w:rPr>
          <w:b/>
          <w:sz w:val="24"/>
          <w:szCs w:val="24"/>
        </w:rPr>
      </w:pPr>
      <w:r w:rsidRPr="00474FE1">
        <w:rPr>
          <w:b/>
          <w:sz w:val="24"/>
          <w:szCs w:val="24"/>
        </w:rPr>
        <w:t>Facturación</w:t>
      </w:r>
      <w:r>
        <w:rPr>
          <w:b/>
          <w:sz w:val="24"/>
          <w:szCs w:val="24"/>
        </w:rPr>
        <w:t xml:space="preserve">: </w:t>
      </w:r>
      <w:r w:rsidR="009514C1">
        <w:rPr>
          <w:sz w:val="24"/>
          <w:szCs w:val="24"/>
        </w:rPr>
        <w:t>Mensual</w:t>
      </w:r>
      <w:r w:rsidR="007D6F0A">
        <w:rPr>
          <w:sz w:val="24"/>
          <w:szCs w:val="24"/>
        </w:rPr>
        <w:t>.</w:t>
      </w:r>
    </w:p>
    <w:p w:rsidR="00FF0A91" w:rsidRPr="000B2FAD" w:rsidRDefault="00FF0A91" w:rsidP="001A27C4">
      <w:pPr>
        <w:pStyle w:val="Prrafodelista"/>
        <w:numPr>
          <w:ilvl w:val="0"/>
          <w:numId w:val="16"/>
        </w:numPr>
        <w:jc w:val="both"/>
        <w:rPr>
          <w:sz w:val="24"/>
          <w:szCs w:val="24"/>
        </w:rPr>
      </w:pPr>
      <w:r>
        <w:rPr>
          <w:b/>
          <w:sz w:val="24"/>
          <w:szCs w:val="24"/>
        </w:rPr>
        <w:t xml:space="preserve">Calidades a cotizar: </w:t>
      </w:r>
      <w:r w:rsidR="000B2FAD">
        <w:rPr>
          <w:b/>
          <w:sz w:val="24"/>
          <w:szCs w:val="24"/>
        </w:rPr>
        <w:t xml:space="preserve"> </w:t>
      </w:r>
      <w:r w:rsidR="000B2FAD" w:rsidRPr="000B2FAD">
        <w:rPr>
          <w:sz w:val="24"/>
          <w:szCs w:val="24"/>
        </w:rPr>
        <w:t>conforme a lo indicado en Anexo II</w:t>
      </w:r>
      <w:r w:rsidR="000B2FAD">
        <w:rPr>
          <w:sz w:val="24"/>
          <w:szCs w:val="24"/>
        </w:rPr>
        <w:t xml:space="preserve"> (Marcas sugeridas)</w:t>
      </w:r>
    </w:p>
    <w:p w:rsidR="00552028" w:rsidRDefault="00552028" w:rsidP="00552028">
      <w:pPr>
        <w:jc w:val="both"/>
        <w:rPr>
          <w:sz w:val="24"/>
          <w:szCs w:val="24"/>
        </w:rPr>
      </w:pPr>
    </w:p>
    <w:tbl>
      <w:tblPr>
        <w:tblW w:w="15800" w:type="dxa"/>
        <w:tblInd w:w="55" w:type="dxa"/>
        <w:tblCellMar>
          <w:left w:w="70" w:type="dxa"/>
          <w:right w:w="70" w:type="dxa"/>
        </w:tblCellMar>
        <w:tblLook w:val="04A0"/>
      </w:tblPr>
      <w:tblGrid>
        <w:gridCol w:w="1250"/>
        <w:gridCol w:w="1250"/>
        <w:gridCol w:w="1820"/>
        <w:gridCol w:w="3340"/>
        <w:gridCol w:w="2800"/>
        <w:gridCol w:w="1500"/>
        <w:gridCol w:w="2360"/>
        <w:gridCol w:w="1480"/>
      </w:tblGrid>
      <w:tr w:rsidR="00FF0A91" w:rsidRPr="00FF0A91" w:rsidTr="00FF0A91">
        <w:trPr>
          <w:trHeight w:val="315"/>
        </w:trPr>
        <w:tc>
          <w:tcPr>
            <w:tcW w:w="2500" w:type="dxa"/>
            <w:gridSpan w:val="2"/>
            <w:tcBorders>
              <w:top w:val="nil"/>
              <w:left w:val="nil"/>
              <w:bottom w:val="nil"/>
              <w:right w:val="nil"/>
            </w:tcBorders>
            <w:shd w:val="clear" w:color="auto" w:fill="auto"/>
            <w:noWrap/>
            <w:vAlign w:val="bottom"/>
            <w:hideMark/>
          </w:tcPr>
          <w:p w:rsidR="00CA362F" w:rsidRPr="00FF0A91" w:rsidRDefault="00CA362F" w:rsidP="00FF0A91">
            <w:pPr>
              <w:rPr>
                <w:rFonts w:ascii="Calibri" w:hAnsi="Calibri"/>
                <w:sz w:val="24"/>
                <w:szCs w:val="24"/>
                <w:lang w:val="es-AR" w:eastAsia="es-AR"/>
              </w:rPr>
            </w:pPr>
          </w:p>
        </w:tc>
        <w:tc>
          <w:tcPr>
            <w:tcW w:w="182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334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8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5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36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48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r>
      <w:tr w:rsidR="00FF0A91" w:rsidRPr="00FF0A91" w:rsidTr="00FF0A91">
        <w:trPr>
          <w:trHeight w:val="300"/>
        </w:trPr>
        <w:tc>
          <w:tcPr>
            <w:tcW w:w="125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6410" w:type="dxa"/>
            <w:gridSpan w:val="3"/>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8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5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36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48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r>
      <w:tr w:rsidR="00FF0A91" w:rsidRPr="00FF0A91" w:rsidTr="00FF0A91">
        <w:trPr>
          <w:trHeight w:val="300"/>
        </w:trPr>
        <w:tc>
          <w:tcPr>
            <w:tcW w:w="125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25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82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334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8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5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36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48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r>
    </w:tbl>
    <w:p w:rsidR="00474FE1" w:rsidRDefault="00474FE1">
      <w:pPr>
        <w:jc w:val="both"/>
        <w:rPr>
          <w:b/>
          <w:sz w:val="24"/>
          <w:szCs w:val="24"/>
        </w:rPr>
      </w:pPr>
    </w:p>
    <w:p w:rsidR="00474FE1" w:rsidRDefault="00474FE1">
      <w:pPr>
        <w:jc w:val="both"/>
        <w:rPr>
          <w:b/>
          <w:sz w:val="24"/>
          <w:szCs w:val="24"/>
        </w:rPr>
      </w:pPr>
    </w:p>
    <w:p w:rsidR="00474FE1" w:rsidRDefault="00474FE1" w:rsidP="00474FE1">
      <w:pPr>
        <w:jc w:val="both"/>
        <w:rPr>
          <w:b/>
          <w:sz w:val="24"/>
          <w:szCs w:val="24"/>
        </w:rPr>
      </w:pPr>
      <w:r w:rsidRPr="00224D4B">
        <w:rPr>
          <w:sz w:val="24"/>
          <w:szCs w:val="24"/>
        </w:rPr>
        <w:t>Para realizar cualquier consulta telefónica, los señores oferentes deberán comunicarse a</w:t>
      </w:r>
      <w:r w:rsidR="002E708C">
        <w:rPr>
          <w:sz w:val="24"/>
          <w:szCs w:val="24"/>
        </w:rPr>
        <w:t>l siguiente</w:t>
      </w:r>
      <w:r w:rsidRPr="00224D4B">
        <w:rPr>
          <w:sz w:val="24"/>
          <w:szCs w:val="24"/>
        </w:rPr>
        <w:t xml:space="preserve"> </w:t>
      </w:r>
      <w:proofErr w:type="spellStart"/>
      <w:r w:rsidRPr="00224D4B">
        <w:rPr>
          <w:sz w:val="24"/>
          <w:szCs w:val="24"/>
        </w:rPr>
        <w:t>nro</w:t>
      </w:r>
      <w:proofErr w:type="spellEnd"/>
      <w:r w:rsidRPr="00224D4B">
        <w:rPr>
          <w:sz w:val="24"/>
          <w:szCs w:val="24"/>
        </w:rPr>
        <w:t>: 4</w:t>
      </w:r>
      <w:r w:rsidR="002E708C">
        <w:rPr>
          <w:sz w:val="24"/>
          <w:szCs w:val="24"/>
        </w:rPr>
        <w:t>4</w:t>
      </w:r>
      <w:r w:rsidRPr="00224D4B">
        <w:rPr>
          <w:sz w:val="24"/>
          <w:szCs w:val="24"/>
        </w:rPr>
        <w:t>80.</w:t>
      </w:r>
      <w:r w:rsidR="002E708C">
        <w:rPr>
          <w:sz w:val="24"/>
          <w:szCs w:val="24"/>
        </w:rPr>
        <w:t xml:space="preserve">- </w:t>
      </w:r>
      <w:r w:rsidRPr="00224D4B">
        <w:rPr>
          <w:sz w:val="24"/>
          <w:szCs w:val="24"/>
        </w:rPr>
        <w:t>55</w:t>
      </w:r>
      <w:r w:rsidR="00551347">
        <w:rPr>
          <w:sz w:val="24"/>
          <w:szCs w:val="24"/>
        </w:rPr>
        <w:t>93</w:t>
      </w:r>
    </w:p>
    <w:p w:rsidR="00474FE1" w:rsidRDefault="00474FE1" w:rsidP="00474FE1">
      <w:pPr>
        <w:jc w:val="both"/>
        <w:rPr>
          <w:b/>
          <w:sz w:val="24"/>
          <w:szCs w:val="24"/>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119" w:rsidRDefault="00106119">
      <w:r>
        <w:separator/>
      </w:r>
    </w:p>
  </w:endnote>
  <w:endnote w:type="continuationSeparator" w:id="1">
    <w:p w:rsidR="00106119" w:rsidRDefault="00106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18" w:rsidRDefault="00C54CF2">
    <w:pPr>
      <w:pStyle w:val="Piedepgina"/>
      <w:framePr w:wrap="around" w:vAnchor="text" w:hAnchor="margin" w:xAlign="right" w:y="1"/>
      <w:rPr>
        <w:rStyle w:val="Nmerodepgina"/>
      </w:rPr>
    </w:pPr>
    <w:r>
      <w:rPr>
        <w:rStyle w:val="Nmerodepgina"/>
      </w:rPr>
      <w:fldChar w:fldCharType="begin"/>
    </w:r>
    <w:r w:rsidR="00BD7518">
      <w:rPr>
        <w:rStyle w:val="Nmerodepgina"/>
      </w:rPr>
      <w:instrText xml:space="preserve">PAGE  </w:instrText>
    </w:r>
    <w:r>
      <w:rPr>
        <w:rStyle w:val="Nmerodepgina"/>
      </w:rPr>
      <w:fldChar w:fldCharType="end"/>
    </w:r>
  </w:p>
  <w:p w:rsidR="00BD7518" w:rsidRDefault="00BD751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9762"/>
      <w:docPartObj>
        <w:docPartGallery w:val="Page Numbers (Bottom of Page)"/>
        <w:docPartUnique/>
      </w:docPartObj>
    </w:sdtPr>
    <w:sdtContent>
      <w:p w:rsidR="006F7577" w:rsidRDefault="00C54CF2">
        <w:pPr>
          <w:pStyle w:val="Piedepgina"/>
          <w:jc w:val="right"/>
        </w:pPr>
        <w:fldSimple w:instr=" PAGE   \* MERGEFORMAT ">
          <w:r w:rsidR="000B2FAD">
            <w:rPr>
              <w:noProof/>
            </w:rPr>
            <w:t>10</w:t>
          </w:r>
        </w:fldSimple>
      </w:p>
    </w:sdtContent>
  </w:sdt>
  <w:p w:rsidR="00BD7518" w:rsidRDefault="00BD7518">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119" w:rsidRDefault="00106119">
      <w:r>
        <w:separator/>
      </w:r>
    </w:p>
  </w:footnote>
  <w:footnote w:type="continuationSeparator" w:id="1">
    <w:p w:rsidR="00106119" w:rsidRDefault="00106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18" w:rsidRPr="0021710E" w:rsidRDefault="00B73D40" w:rsidP="0021710E">
    <w:pPr>
      <w:pStyle w:val="Encabezado"/>
    </w:pPr>
    <w:r w:rsidRPr="00B73D40">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0"/>
    <w:footnote w:id="1"/>
  </w:footnotePr>
  <w:endnotePr>
    <w:endnote w:id="0"/>
    <w:endnote w:id="1"/>
  </w:endnotePr>
  <w:compat/>
  <w:rsids>
    <w:rsidRoot w:val="0050631A"/>
    <w:rsid w:val="00001541"/>
    <w:rsid w:val="00005FBC"/>
    <w:rsid w:val="00023DEF"/>
    <w:rsid w:val="0005549D"/>
    <w:rsid w:val="00064F90"/>
    <w:rsid w:val="00073073"/>
    <w:rsid w:val="00094347"/>
    <w:rsid w:val="000A3B5C"/>
    <w:rsid w:val="000A416D"/>
    <w:rsid w:val="000B05D3"/>
    <w:rsid w:val="000B26B1"/>
    <w:rsid w:val="000B2FAD"/>
    <w:rsid w:val="000B6BF1"/>
    <w:rsid w:val="000B7534"/>
    <w:rsid w:val="000C0959"/>
    <w:rsid w:val="000C3646"/>
    <w:rsid w:val="000C404F"/>
    <w:rsid w:val="000D1884"/>
    <w:rsid w:val="000D189B"/>
    <w:rsid w:val="000F4A37"/>
    <w:rsid w:val="001053EB"/>
    <w:rsid w:val="00106119"/>
    <w:rsid w:val="00120714"/>
    <w:rsid w:val="00152BA2"/>
    <w:rsid w:val="00157B23"/>
    <w:rsid w:val="00177F21"/>
    <w:rsid w:val="001A1C76"/>
    <w:rsid w:val="001A1F4D"/>
    <w:rsid w:val="001A27C4"/>
    <w:rsid w:val="001A2B0F"/>
    <w:rsid w:val="001B01C2"/>
    <w:rsid w:val="001B6444"/>
    <w:rsid w:val="001C66FB"/>
    <w:rsid w:val="001E3F75"/>
    <w:rsid w:val="001E4FD9"/>
    <w:rsid w:val="001F5432"/>
    <w:rsid w:val="00206AB8"/>
    <w:rsid w:val="0021710E"/>
    <w:rsid w:val="00224D4B"/>
    <w:rsid w:val="00227B2C"/>
    <w:rsid w:val="0023043C"/>
    <w:rsid w:val="00244F76"/>
    <w:rsid w:val="00260B5F"/>
    <w:rsid w:val="00260E3A"/>
    <w:rsid w:val="00294443"/>
    <w:rsid w:val="00294623"/>
    <w:rsid w:val="002E708C"/>
    <w:rsid w:val="002F0D32"/>
    <w:rsid w:val="002F501A"/>
    <w:rsid w:val="00303DBE"/>
    <w:rsid w:val="00304CF0"/>
    <w:rsid w:val="0031084B"/>
    <w:rsid w:val="003300F4"/>
    <w:rsid w:val="0033321D"/>
    <w:rsid w:val="003503F8"/>
    <w:rsid w:val="00350A54"/>
    <w:rsid w:val="003538C0"/>
    <w:rsid w:val="00355F07"/>
    <w:rsid w:val="00357230"/>
    <w:rsid w:val="00365A59"/>
    <w:rsid w:val="00377FC6"/>
    <w:rsid w:val="003915E8"/>
    <w:rsid w:val="00393327"/>
    <w:rsid w:val="003A2F39"/>
    <w:rsid w:val="003C0F70"/>
    <w:rsid w:val="003D38C6"/>
    <w:rsid w:val="003F304C"/>
    <w:rsid w:val="00406761"/>
    <w:rsid w:val="00415A96"/>
    <w:rsid w:val="00415FCC"/>
    <w:rsid w:val="00423B4F"/>
    <w:rsid w:val="00423EE6"/>
    <w:rsid w:val="004240FD"/>
    <w:rsid w:val="004613A1"/>
    <w:rsid w:val="00474FE1"/>
    <w:rsid w:val="00483315"/>
    <w:rsid w:val="00483867"/>
    <w:rsid w:val="004A2D3D"/>
    <w:rsid w:val="004B52F6"/>
    <w:rsid w:val="004D3E7D"/>
    <w:rsid w:val="0050631A"/>
    <w:rsid w:val="00511545"/>
    <w:rsid w:val="00517C77"/>
    <w:rsid w:val="00536763"/>
    <w:rsid w:val="0054753F"/>
    <w:rsid w:val="005501F0"/>
    <w:rsid w:val="00551347"/>
    <w:rsid w:val="00552028"/>
    <w:rsid w:val="005610A2"/>
    <w:rsid w:val="00561373"/>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5561"/>
    <w:rsid w:val="006D2437"/>
    <w:rsid w:val="006E589C"/>
    <w:rsid w:val="006E6972"/>
    <w:rsid w:val="006F7577"/>
    <w:rsid w:val="00701498"/>
    <w:rsid w:val="00714D6A"/>
    <w:rsid w:val="00725093"/>
    <w:rsid w:val="00725CFD"/>
    <w:rsid w:val="00732938"/>
    <w:rsid w:val="00746FC2"/>
    <w:rsid w:val="00754AD5"/>
    <w:rsid w:val="007649D4"/>
    <w:rsid w:val="00772C71"/>
    <w:rsid w:val="007D1C89"/>
    <w:rsid w:val="007D273A"/>
    <w:rsid w:val="007D6F0A"/>
    <w:rsid w:val="007D7593"/>
    <w:rsid w:val="007E0D06"/>
    <w:rsid w:val="007F74D9"/>
    <w:rsid w:val="0080071D"/>
    <w:rsid w:val="008016DE"/>
    <w:rsid w:val="00807E3D"/>
    <w:rsid w:val="00811A4A"/>
    <w:rsid w:val="00821714"/>
    <w:rsid w:val="00850EB2"/>
    <w:rsid w:val="00854419"/>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901E2D"/>
    <w:rsid w:val="00915012"/>
    <w:rsid w:val="00923D92"/>
    <w:rsid w:val="00934650"/>
    <w:rsid w:val="00935953"/>
    <w:rsid w:val="009514C1"/>
    <w:rsid w:val="0095560F"/>
    <w:rsid w:val="00957DB3"/>
    <w:rsid w:val="00977366"/>
    <w:rsid w:val="00981F43"/>
    <w:rsid w:val="009A35CC"/>
    <w:rsid w:val="009C1018"/>
    <w:rsid w:val="009C14EE"/>
    <w:rsid w:val="009C2D84"/>
    <w:rsid w:val="009C7D9E"/>
    <w:rsid w:val="009E6A35"/>
    <w:rsid w:val="009F59BD"/>
    <w:rsid w:val="00A04391"/>
    <w:rsid w:val="00A0457E"/>
    <w:rsid w:val="00A07606"/>
    <w:rsid w:val="00A07CE0"/>
    <w:rsid w:val="00A22F90"/>
    <w:rsid w:val="00A31EE8"/>
    <w:rsid w:val="00A37190"/>
    <w:rsid w:val="00A41F3D"/>
    <w:rsid w:val="00A4265C"/>
    <w:rsid w:val="00A458BD"/>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F28B9"/>
    <w:rsid w:val="00C07CF5"/>
    <w:rsid w:val="00C10AA9"/>
    <w:rsid w:val="00C14989"/>
    <w:rsid w:val="00C20174"/>
    <w:rsid w:val="00C21367"/>
    <w:rsid w:val="00C3603F"/>
    <w:rsid w:val="00C37F63"/>
    <w:rsid w:val="00C425C3"/>
    <w:rsid w:val="00C432E4"/>
    <w:rsid w:val="00C433FF"/>
    <w:rsid w:val="00C54CF2"/>
    <w:rsid w:val="00C609DE"/>
    <w:rsid w:val="00C6586A"/>
    <w:rsid w:val="00C710E9"/>
    <w:rsid w:val="00C903A3"/>
    <w:rsid w:val="00C9354A"/>
    <w:rsid w:val="00C93F1E"/>
    <w:rsid w:val="00C97D67"/>
    <w:rsid w:val="00CA33B1"/>
    <w:rsid w:val="00CA362F"/>
    <w:rsid w:val="00CC16F0"/>
    <w:rsid w:val="00CC21F2"/>
    <w:rsid w:val="00CC4B62"/>
    <w:rsid w:val="00CC5CB0"/>
    <w:rsid w:val="00CE5854"/>
    <w:rsid w:val="00CF2F4F"/>
    <w:rsid w:val="00CF410B"/>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37320"/>
    <w:rsid w:val="00E442CD"/>
    <w:rsid w:val="00E47AD2"/>
    <w:rsid w:val="00E52E4B"/>
    <w:rsid w:val="00E61B78"/>
    <w:rsid w:val="00E83917"/>
    <w:rsid w:val="00EB36E8"/>
    <w:rsid w:val="00EC05D8"/>
    <w:rsid w:val="00EC72BB"/>
    <w:rsid w:val="00ED1165"/>
    <w:rsid w:val="00ED33CF"/>
    <w:rsid w:val="00ED5B98"/>
    <w:rsid w:val="00ED76DD"/>
    <w:rsid w:val="00EF2909"/>
    <w:rsid w:val="00EF4B28"/>
    <w:rsid w:val="00F01B47"/>
    <w:rsid w:val="00F1126E"/>
    <w:rsid w:val="00F22100"/>
    <w:rsid w:val="00F32643"/>
    <w:rsid w:val="00F34D29"/>
    <w:rsid w:val="00F37786"/>
    <w:rsid w:val="00F40A7C"/>
    <w:rsid w:val="00F41783"/>
    <w:rsid w:val="00F55886"/>
    <w:rsid w:val="00F6066A"/>
    <w:rsid w:val="00F61C12"/>
    <w:rsid w:val="00F709DA"/>
    <w:rsid w:val="00F7294E"/>
    <w:rsid w:val="00F9068A"/>
    <w:rsid w:val="00FB2351"/>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paragraph" w:styleId="NormalWeb">
    <w:name w:val="Normal (Web)"/>
    <w:basedOn w:val="Normal"/>
    <w:uiPriority w:val="99"/>
    <w:semiHidden/>
    <w:unhideWhenUsed/>
    <w:rsid w:val="001C66FB"/>
    <w:pPr>
      <w:spacing w:before="100" w:beforeAutospacing="1" w:after="100" w:afterAutospacing="1"/>
    </w:pPr>
    <w:rPr>
      <w:rFonts w:eastAsiaTheme="minorHAnsi"/>
      <w:color w:val="000000"/>
      <w:sz w:val="24"/>
      <w:szCs w:val="24"/>
      <w:lang w:val="es-AR" w:eastAsia="es-AR"/>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5617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4BD3-7F85-447B-8216-854D9270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2371</Words>
  <Characters>13083</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8</cp:revision>
  <cp:lastPrinted>2019-01-23T14:08:00Z</cp:lastPrinted>
  <dcterms:created xsi:type="dcterms:W3CDTF">2019-01-24T17:46:00Z</dcterms:created>
  <dcterms:modified xsi:type="dcterms:W3CDTF">2019-01-24T19:09:00Z</dcterms:modified>
</cp:coreProperties>
</file>